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1947"/>
        <w:gridCol w:w="1142"/>
        <w:gridCol w:w="986"/>
        <w:gridCol w:w="1133"/>
        <w:gridCol w:w="284"/>
        <w:gridCol w:w="425"/>
        <w:gridCol w:w="851"/>
        <w:gridCol w:w="3652"/>
      </w:tblGrid>
      <w:tr w:rsidR="00913DF8" w:rsidTr="003E65E1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709" w:type="dxa"/>
            <w:gridSpan w:val="2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851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652" w:type="dxa"/>
          </w:tcPr>
          <w:p w:rsidR="00913DF8" w:rsidRPr="00327BA2" w:rsidRDefault="00AE3D41" w:rsidP="003F775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3E65E1">
        <w:tc>
          <w:tcPr>
            <w:tcW w:w="1947" w:type="dxa"/>
            <w:vAlign w:val="center"/>
          </w:tcPr>
          <w:p w:rsidR="00913DF8" w:rsidRPr="00327BA2" w:rsidRDefault="00913DF8" w:rsidP="003E65E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الأسبوع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86" w:type="dxa"/>
            <w:vAlign w:val="center"/>
          </w:tcPr>
          <w:p w:rsidR="00913DF8" w:rsidRPr="00327BA2" w:rsidRDefault="00913DF8" w:rsidP="003E65E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417" w:type="dxa"/>
            <w:gridSpan w:val="2"/>
            <w:vAlign w:val="center"/>
          </w:tcPr>
          <w:p w:rsidR="00913DF8" w:rsidRPr="00327BA2" w:rsidRDefault="003E65E1" w:rsidP="003E65E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الزخرفة</w:t>
            </w:r>
          </w:p>
        </w:tc>
        <w:tc>
          <w:tcPr>
            <w:tcW w:w="1276" w:type="dxa"/>
            <w:gridSpan w:val="2"/>
            <w:vAlign w:val="center"/>
          </w:tcPr>
          <w:p w:rsidR="00913DF8" w:rsidRPr="00327BA2" w:rsidRDefault="00913DF8" w:rsidP="003E65E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الدرس</w:t>
            </w:r>
          </w:p>
        </w:tc>
        <w:tc>
          <w:tcPr>
            <w:tcW w:w="3652" w:type="dxa"/>
          </w:tcPr>
          <w:p w:rsidR="00913DF8" w:rsidRPr="00327BA2" w:rsidRDefault="003E65E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المحاور في الزخارف الهندسية المتماثلة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678"/>
        <w:gridCol w:w="425"/>
        <w:gridCol w:w="4928"/>
      </w:tblGrid>
      <w:tr w:rsidR="00913DF8" w:rsidTr="00B91DFB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678" w:type="dxa"/>
            <w:vAlign w:val="center"/>
          </w:tcPr>
          <w:p w:rsidR="00913DF8" w:rsidRPr="00D83868" w:rsidRDefault="00D83868" w:rsidP="00B91DF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83868">
              <w:rPr>
                <w:rFonts w:cs="AF_Najed" w:hint="cs"/>
                <w:sz w:val="28"/>
                <w:szCs w:val="28"/>
                <w:rtl/>
              </w:rPr>
              <w:t>ذكر نبذة تاريخية عن</w:t>
            </w:r>
            <w:r>
              <w:rPr>
                <w:rFonts w:cs="AF_Najed" w:hint="cs"/>
                <w:sz w:val="28"/>
                <w:szCs w:val="28"/>
                <w:rtl/>
              </w:rPr>
              <w:t xml:space="preserve"> بدايات</w:t>
            </w:r>
            <w:r w:rsidRPr="00D83868">
              <w:rPr>
                <w:rFonts w:cs="AF_Najed" w:hint="cs"/>
                <w:sz w:val="28"/>
                <w:szCs w:val="28"/>
                <w:rtl/>
              </w:rPr>
              <w:t xml:space="preserve"> الزخرفة الإسلامية</w:t>
            </w:r>
          </w:p>
        </w:tc>
        <w:tc>
          <w:tcPr>
            <w:tcW w:w="425" w:type="dxa"/>
            <w:vAlign w:val="center"/>
          </w:tcPr>
          <w:p w:rsidR="00913DF8" w:rsidRPr="00327BA2" w:rsidRDefault="00913DF8" w:rsidP="00B91DFB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928" w:type="dxa"/>
            <w:vAlign w:val="center"/>
          </w:tcPr>
          <w:p w:rsidR="00913DF8" w:rsidRPr="00D83868" w:rsidRDefault="00D83868" w:rsidP="00B91DF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توضيح أنواع التماثل في زخرفة الأشكال الهندسية  بالمحاور</w:t>
            </w:r>
          </w:p>
        </w:tc>
      </w:tr>
      <w:tr w:rsidR="00913DF8" w:rsidTr="00B91DFB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678" w:type="dxa"/>
            <w:vAlign w:val="center"/>
          </w:tcPr>
          <w:p w:rsidR="00913DF8" w:rsidRPr="00D83868" w:rsidRDefault="00D83868" w:rsidP="00B91DF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83868">
              <w:rPr>
                <w:rFonts w:cs="AF_Najed" w:hint="cs"/>
                <w:sz w:val="28"/>
                <w:szCs w:val="28"/>
                <w:rtl/>
              </w:rPr>
              <w:t xml:space="preserve">تعداد أنواع العناصر المكونة للوحدة الزخرفية </w:t>
            </w:r>
            <w:r>
              <w:rPr>
                <w:rFonts w:cs="AF_Najed" w:hint="cs"/>
                <w:sz w:val="28"/>
                <w:szCs w:val="28"/>
                <w:rtl/>
              </w:rPr>
              <w:t xml:space="preserve"> الإسلامية</w:t>
            </w:r>
          </w:p>
        </w:tc>
        <w:tc>
          <w:tcPr>
            <w:tcW w:w="425" w:type="dxa"/>
            <w:vAlign w:val="center"/>
          </w:tcPr>
          <w:p w:rsidR="00913DF8" w:rsidRPr="00327BA2" w:rsidRDefault="00913DF8" w:rsidP="00B91DFB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928" w:type="dxa"/>
            <w:vAlign w:val="center"/>
          </w:tcPr>
          <w:p w:rsidR="00913DF8" w:rsidRPr="00D83868" w:rsidRDefault="00D83868" w:rsidP="00B91DF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تعداد القيم الجمالية للتماثل في الزخرفة الإسلامية</w:t>
            </w:r>
          </w:p>
        </w:tc>
      </w:tr>
      <w:tr w:rsidR="00913DF8" w:rsidTr="00B91DFB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678" w:type="dxa"/>
            <w:vAlign w:val="center"/>
          </w:tcPr>
          <w:p w:rsidR="00913DF8" w:rsidRPr="00D83868" w:rsidRDefault="00D83868" w:rsidP="00B91DF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تعداد أنواع المحاور للشكل الهندسي  المربع والدائرة</w:t>
            </w:r>
          </w:p>
        </w:tc>
        <w:tc>
          <w:tcPr>
            <w:tcW w:w="425" w:type="dxa"/>
            <w:vAlign w:val="center"/>
          </w:tcPr>
          <w:p w:rsidR="00913DF8" w:rsidRPr="00D83868" w:rsidRDefault="00913DF8" w:rsidP="00B91DF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D83868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928" w:type="dxa"/>
            <w:vAlign w:val="center"/>
          </w:tcPr>
          <w:p w:rsidR="00913DF8" w:rsidRPr="00D83868" w:rsidRDefault="00D83868" w:rsidP="00B91DF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رسم وحدة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زخرفية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ب</w:t>
            </w:r>
            <w:r w:rsidR="00B91DFB">
              <w:rPr>
                <w:rFonts w:cs="AF_Najed" w:hint="cs"/>
                <w:sz w:val="28"/>
                <w:szCs w:val="28"/>
                <w:rtl/>
              </w:rPr>
              <w:t>ا</w:t>
            </w:r>
            <w:r>
              <w:rPr>
                <w:rFonts w:cs="AF_Najed" w:hint="cs"/>
                <w:sz w:val="28"/>
                <w:szCs w:val="28"/>
                <w:rtl/>
              </w:rPr>
              <w:t>ستخدام المحاور</w:t>
            </w:r>
          </w:p>
        </w:tc>
      </w:tr>
      <w:tr w:rsidR="00D83868" w:rsidTr="00B91DFB">
        <w:tc>
          <w:tcPr>
            <w:tcW w:w="389" w:type="dxa"/>
          </w:tcPr>
          <w:p w:rsidR="00D83868" w:rsidRPr="00327BA2" w:rsidRDefault="00D8386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0031" w:type="dxa"/>
            <w:gridSpan w:val="3"/>
            <w:vAlign w:val="center"/>
          </w:tcPr>
          <w:p w:rsidR="00D83868" w:rsidRPr="00D83868" w:rsidRDefault="00D83868" w:rsidP="00B91DF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شرح حالات زخرفة الأشكال الهندسية  من المحاور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العامودية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 والأفقية</w:t>
            </w:r>
          </w:p>
        </w:tc>
      </w:tr>
      <w:tr w:rsidR="00D83868" w:rsidTr="00B91DFB">
        <w:tc>
          <w:tcPr>
            <w:tcW w:w="389" w:type="dxa"/>
          </w:tcPr>
          <w:p w:rsidR="00D83868" w:rsidRPr="00327BA2" w:rsidRDefault="00D8386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0031" w:type="dxa"/>
            <w:gridSpan w:val="3"/>
            <w:vAlign w:val="center"/>
          </w:tcPr>
          <w:p w:rsidR="00D83868" w:rsidRPr="00D83868" w:rsidRDefault="00D83868" w:rsidP="00B91DFB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شرح مفهوم التماثل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lastRenderedPageBreak/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26723F"/>
    <w:rsid w:val="00327BA2"/>
    <w:rsid w:val="003379C6"/>
    <w:rsid w:val="003E65E1"/>
    <w:rsid w:val="003F7756"/>
    <w:rsid w:val="005F186E"/>
    <w:rsid w:val="006D5FB2"/>
    <w:rsid w:val="007E2E5C"/>
    <w:rsid w:val="00827F10"/>
    <w:rsid w:val="00913DF8"/>
    <w:rsid w:val="00A60D9C"/>
    <w:rsid w:val="00AE3D41"/>
    <w:rsid w:val="00B91DFB"/>
    <w:rsid w:val="00CB7DA2"/>
    <w:rsid w:val="00D83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8</cp:revision>
  <cp:lastPrinted>2010-10-11T04:04:00Z</cp:lastPrinted>
  <dcterms:created xsi:type="dcterms:W3CDTF">2010-10-09T04:39:00Z</dcterms:created>
  <dcterms:modified xsi:type="dcterms:W3CDTF">2010-10-17T08:30:00Z</dcterms:modified>
</cp:coreProperties>
</file>